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10</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Заместителя министра социального развития Московской области Ермилова Евгения Борисовича, действующего на основании доверенности от 09.01.2025 года №20-12.02-01/6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11 855 174 (одиннадцать миллионов восемьсот пятьдесят пять тысяч сто семьдесят четыре) рубля 06 копеек" заменить словами "в размере 11 996 839 (одиннадцать миллионов девятьсот девяносто шесть тысяч восемьсот тридцать девять) рублей 73 копейки";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в абзаце 2 пункта 2.2.1 сумму Субсидии в 2025 году 10 800 174 (десять миллионов восемьсот тысяч сто семьдесят четыре) рубля 06 копеек - по коду БК 83110020411100590612 увеличить на 141 665 (сто сорок одна тысяча шестьсот шестьдесят пять) рублей 67 копеек.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Е. Б. Ермилов</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24.07.2025 19:33:34</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24.07.2025 10:44:39</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10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616 549,45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831Н523144</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831Н523259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24.07.2025 19:33:34</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24.07.2025 10:44:39</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10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141 665,67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141 665,67</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9900004400612"/>
                        <w:bookmarkEnd w:id="12"/>
                        <w:r>
                          <w:fldChar w:fldCharType="begin"/>
                        </w:r>
                        <w:r>
                          <w:instrText> TC "83110029900004400612"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26.05.2025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26.05.2025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831Н523259</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20.06.2025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20.06.2025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831Н523144</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310 000,00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141 665,67</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24.07.2025 19:33:34</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24.07.2025 10:44:39</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10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государственной программы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1082"/>
                    <w:gridCol w:val="1082"/>
                    <w:gridCol w:val="1082"/>
                    <w:gridCol w:val="1082"/>
                    <w:gridCol w:val="1082"/>
                    <w:gridCol w:val="1083"/>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30.09.2025</w:t>
                        </w: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01.10.2025</w:t>
                        </w:r>
                      </w:p>
                    </w:tc>
                    <w:tc>
                      <w:tcPr>
                        <w:tcW w:w="216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12</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259 Закона Московской области от 12.12.2024 № 242/2024-ОЗ"/>
                        <w:bookmarkEnd w:id="16"/>
                        <w:r>
                          <w:fldChar w:fldCharType="begin"/>
                        </w:r>
                        <w:r>
                          <w:instrText> TC "Субсидия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w:bookmarkEnd w:id="16"/>
                        <w:r>
                          <w:fldChar w:fldCharType="begin"/>
                        </w:r>
                        <w:r>
                          <w:instrText> TC "Субсидия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4 Закона Московской области от 12.12.2024 № 242/2024-ОЗ"/>
                        <w:bookmarkEnd w:id="16"/>
                        <w:r>
                          <w:fldChar w:fldCharType="begin"/>
                        </w:r>
                        <w:r>
                          <w:instrText> TC "Субсидия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0500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w:bookmarkEnd w:id="16"/>
                        <w:r>
                          <w:fldChar w:fldCharType="begin"/>
                        </w:r>
                        <w:r>
                          <w:instrText> TC "Субсидия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0600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24.07.2025 19:33:34</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24.07.2025 10:44:39</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10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Pr>
                  <w:jc w:val="center"/>
                </w:pPr>
                <w:bookmarkStart w:id="19" w:name="__bookmark_13"/>
                <w:bookmarkEnd w:id="19"/>
                <w:tbl>
                  <w:tblPr>
                    <w:tblInd w:w="0" w:type="dxa"/>
                    <w:tblStyle w:val="TableGrid"/>
                    <w:tblOverlap w:val="Never"/>
                    <w:tblW w:w="16117" w:type="dxa"/>
                    <w:tblLook w:val="01E0"/>
                    <w:tblLayout w:type="fixed"/>
                    <w:tblBorders/>
                    <w:jc w:val="center"/>
                  </w:tblPr>
                  <w:tblGrid>
                    <w:gridCol w:val="3223"/>
                    <w:gridCol w:val="7415"/>
                    <w:gridCol w:val="2578"/>
                    <w:gridCol w:val="2901"/>
                  </w:tblGrid>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КОДЫ</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Год</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2025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5009035215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КПП</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500901001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получателя</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46284388</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номер лицевого счета</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21831843880</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средств бюджета Московской области</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46200098</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w:t>
                        </w:r>
                      </w:p>
                    </w:tc>
                    <w:tc>
                      <w:tcPr>
                        <w:tcW w:w="7415" w:type="dxa"/>
                        <w:tcBorders/>
                        <w:tcMar>
                          <w:bottom w:w="0" w:type="dxa"/>
                          <w:left w:w="0" w:type="dxa"/>
                          <w:top w:w="0" w:type="dxa"/>
                          <w:right w:w="0" w:type="dxa"/>
                        </w:tcMar>
                        <w:vAlign w:val="baseline"/>
                        <w:noWrap w:val="off"/>
                      </w:tcPr>
                      <w:pPr>
                        <w:jc w:val="center"/>
                      </w:pPr>
                      <w:bookmarkStart w:id="20" w:name="__bookmark_14"/>
                      <w:bookmarkEnd w:id="20"/>
                      <w:tbl>
                        <w:tblPr>
                          <w:tblInd w:w="0" w:type="dxa"/>
                          <w:tblStyle w:val="TableGrid"/>
                          <w:tblOverlap w:val="Never"/>
                          <w:tblW w:w="7415" w:type="dxa"/>
                          <w:tblLook w:val="01E0"/>
                          <w:tblLayout w:type="fixed"/>
                          <w:tblBorders/>
                          <w:jc w:val="center"/>
                        </w:tblPr>
                        <w:tblGrid>
                          <w:gridCol w:val="7415"/>
                        </w:tblGrid>
                        <w:tr>
                          <w:trPr/>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bl>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БК</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1" w:lineRule="auto"/>
                        </w:pPr>
                      </w:p>
                    </w:tc>
                  </w:tr>
                </w:tbl>
                <w:p>
                  <w:pPr>
                    <w:spacing w:line="1" w:lineRule="auto"/>
                  </w:pPr>
                </w:p>
              </w:tc>
            </w:tr>
            <w:tr>
              <w:trPr/>
              <w:tc>
                <w:tcPr>
                  <w:tcW w:w="16117" w:type="dxa"/>
                  <w:tcBorders/>
                  <w:tcMar>
                    <w:bottom w:w="200" w:type="dxa"/>
                    <w:left w:w="0" w:type="dxa"/>
                    <w:top w:w="0" w:type="dxa"/>
                    <w:right w:w="0" w:type="dxa"/>
                  </w:tcMar>
                  <w:vAlign w:val="baseline"/>
                  <w:noWrap w:val="off"/>
                </w:tcPr>
                <w:p>
                  <w:pPr>
                    <w:spacing w:line="1" w:lineRule="auto"/>
                  </w:pPr>
                </w:p>
              </w:tc>
            </w:tr>
            <w:tr>
              <w:trPr/>
              <w:tc>
                <w:tcPr>
                  <w:tcW w:w="16117" w:type="dxa"/>
                  <w:tcBorders/>
                  <w:tcMar>
                    <w:bottom w:w="200" w:type="dxa"/>
                    <w:left w:w="40" w:type="dxa"/>
                    <w:top w:w="0" w:type="dxa"/>
                    <w:right w:w="40" w:type="dxa"/>
                  </w:tcMar>
                  <w:vAlign w:val="baseline"/>
                  <w:noWrap w:val="off"/>
                </w:tcPr>
                <w:bookmarkStart w:id="21" w:name="__bookmark_15"/>
                <w:bookmarkEnd w:id="21"/>
                <w:p>
                  <w:rPr>
                    <w:vanish w:val="on"/>
                  </w:rPr>
                </w:p>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w:bookmarkEnd w:id="22"/>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259 Закона Московской области от 12.12.2024 № 242/2024-ОЗ). 2025-10-01"/>
                        <w:bookmarkEnd w:id="22"/>
                        <w:r>
                          <w:fldChar w:fldCharType="begin"/>
                        </w:r>
                        <w:r>
                          <w:instrText> TC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2025-10-01"/>
                        <w:bookmarkEnd w:id="22"/>
                        <w:r>
                          <w:fldChar w:fldCharType="begin"/>
                        </w:r>
                        <w:r>
                          <w:instrText> TC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28 февр.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 июля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4 Закона Московской области от 12.12.2024 № 242/2024-ОЗ) 2025-10-01"/>
                        <w:bookmarkEnd w:id="22"/>
                        <w:r>
                          <w:fldChar w:fldCharType="begin"/>
                        </w:r>
                        <w:r>
                          <w:instrText> TC "Исполнение требований, положений, установленных НПА. (Субсидия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(Субсидия на приобретение компьютерной техники, оргтехники, фототехники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п.144 Закона Московской области от 12.12.2024 № 242/2024-ОЗ)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Приобретены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Приобретены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Среднесписочная численность работников учреждений, получивших выплаты в отчетном финансовом году 2025-12-31"/>
                        <w:bookmarkEnd w:id="22"/>
                        <w:r>
                          <w:fldChar w:fldCharType="begin"/>
                        </w:r>
                        <w:r>
                          <w:instrText> TC "Среднесписочная численность работников учреждений, получивших выплаты в отчетном финансовом году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Численность физических лиц (среднее значение), получивших выплаты в отчетном финансовом году. 2025-09-30"/>
                        <w:bookmarkEnd w:id="22"/>
                        <w:r>
                          <w:fldChar w:fldCharType="begin"/>
                        </w:r>
                        <w:r>
                          <w:instrText> TC "Численность физических лиц (среднее значение), получивших выплаты в отчетном финансовом году.
2025-09-30"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2" w:name="__bookmark_16"/>
                <w:bookmarkEnd w:id="2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3" w:name="Stamp.FirstSideChief_5:50:200"/>
                      <w:bookmarkEnd w:id="2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24.07.2025 19:33:34</w:t>
                        </w:r>
                      </w:p>
                    </w:tc>
                    <w:tc>
                      <w:tcPr>
                        <w:tcW w:w="8059" w:type="dxa"/>
                        <w:tcBorders/>
                        <w:tcMar>
                          <w:bottom w:w="0" w:type="dxa"/>
                          <w:left w:w="200" w:type="dxa"/>
                          <w:top w:w="0" w:type="dxa"/>
                          <w:right w:w="100" w:type="dxa"/>
                        </w:tcMar>
                        <w:vAlign w:val="baseline"/>
                        <w:noWrap w:val="off"/>
                      </w:tcPr>
                      <w:bookmarkStart w:id="24" w:name="Stamp.SecondSideChief_5:600:200"/>
                      <w:bookmarkEnd w:id="2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24.07.2025 10:44:39</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